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258" w:rsidRDefault="00771258"/>
    <w:p w:rsidR="005F28EB" w:rsidRPr="00B10613" w:rsidRDefault="005F28EB" w:rsidP="005F28EB">
      <w:pPr>
        <w:pStyle w:val="animation-ready"/>
        <w:shd w:val="clear" w:color="auto" w:fill="FFFFFF"/>
        <w:rPr>
          <w:b/>
          <w:color w:val="1B1B1B"/>
          <w:sz w:val="28"/>
          <w:szCs w:val="28"/>
          <w:shd w:val="clear" w:color="auto" w:fill="FFFFFF"/>
        </w:rPr>
      </w:pPr>
      <w:r>
        <w:rPr>
          <w:rFonts w:ascii="Garamond" w:hAnsi="Garamond"/>
          <w:color w:val="1B1B1B"/>
          <w:sz w:val="27"/>
          <w:szCs w:val="27"/>
          <w:shd w:val="clear" w:color="auto" w:fill="FFFFFF"/>
        </w:rPr>
        <w:t xml:space="preserve">Temat: </w:t>
      </w:r>
      <w:r w:rsidRPr="00B10613">
        <w:rPr>
          <w:b/>
          <w:color w:val="1B1B1B"/>
          <w:sz w:val="28"/>
          <w:szCs w:val="28"/>
          <w:shd w:val="clear" w:color="auto" w:fill="FFFFFF"/>
        </w:rPr>
        <w:t>„Rozmowa Mistrza Polikarpa ze Śmiercią”</w:t>
      </w:r>
    </w:p>
    <w:p w:rsidR="005F28EB" w:rsidRPr="00206124" w:rsidRDefault="00771258" w:rsidP="005F28EB">
      <w:pPr>
        <w:pStyle w:val="animation-ready"/>
        <w:shd w:val="clear" w:color="auto" w:fill="FFFFFF"/>
        <w:rPr>
          <w:color w:val="FF0000"/>
          <w:sz w:val="28"/>
          <w:szCs w:val="28"/>
        </w:rPr>
      </w:pPr>
      <w:r w:rsidRPr="00206124">
        <w:rPr>
          <w:color w:val="1B1B1B"/>
          <w:sz w:val="28"/>
          <w:szCs w:val="28"/>
          <w:shd w:val="clear" w:color="auto" w:fill="FFFFFF"/>
        </w:rPr>
        <w:t>Motyw śmierci w średniowieczu miał ogromne znaczenie w teologii, filozofii i sztuce. Temat dość powszechnie eksponowano, aby wpoić ludziom myśl o nieuchronnym końcu życia.</w:t>
      </w:r>
      <w:r w:rsidR="005F28EB" w:rsidRPr="00206124">
        <w:rPr>
          <w:color w:val="1B1B1B"/>
          <w:sz w:val="28"/>
          <w:szCs w:val="28"/>
        </w:rPr>
        <w:t xml:space="preserve"> </w:t>
      </w:r>
      <w:r w:rsidR="005F28EB" w:rsidRPr="00206124">
        <w:rPr>
          <w:color w:val="FF0000"/>
          <w:sz w:val="28"/>
          <w:szCs w:val="28"/>
        </w:rPr>
        <w:t>W średniowieczu śmierć postrzegano jako niezwykle istotny moment egzystencji człowieka. Zgon nie kończył wszystkiego, lecz był początkiem wieczności.</w:t>
      </w:r>
    </w:p>
    <w:p w:rsidR="005F28EB" w:rsidRPr="00206124" w:rsidRDefault="005F28EB" w:rsidP="005F28EB">
      <w:pPr>
        <w:pStyle w:val="animation-ready"/>
        <w:shd w:val="clear" w:color="auto" w:fill="FFFFFF"/>
        <w:rPr>
          <w:color w:val="1B1B1B"/>
          <w:sz w:val="28"/>
          <w:szCs w:val="28"/>
        </w:rPr>
      </w:pPr>
      <w:r w:rsidRPr="00206124">
        <w:rPr>
          <w:color w:val="1B1B1B"/>
          <w:sz w:val="28"/>
          <w:szCs w:val="28"/>
        </w:rPr>
        <w:t>Teologia uczyła, że po śmierci następuje albo niebo, albo piekło. Do takiej chwili należy się więc odpowiednio przygotować, bo złe umieranie (np. narzekanie na ból, brak zgody z rodziną) może udaremnić trud dobrego </w:t>
      </w:r>
      <w:hyperlink r:id="rId4" w:history="1">
        <w:r w:rsidRPr="00206124">
          <w:rPr>
            <w:rStyle w:val="Hipercze"/>
            <w:color w:val="2154AA"/>
            <w:sz w:val="28"/>
            <w:szCs w:val="28"/>
          </w:rPr>
          <w:t>życia</w:t>
        </w:r>
      </w:hyperlink>
      <w:r w:rsidRPr="00206124">
        <w:rPr>
          <w:color w:val="1B1B1B"/>
          <w:sz w:val="28"/>
          <w:szCs w:val="28"/>
        </w:rPr>
        <w:t>.</w:t>
      </w:r>
    </w:p>
    <w:p w:rsidR="00B10613" w:rsidRDefault="00B10613" w:rsidP="00B10613">
      <w:pPr>
        <w:shd w:val="clear" w:color="auto" w:fill="FFFFFF"/>
        <w:rPr>
          <w:rFonts w:ascii="Helvetica" w:hAnsi="Helvetica" w:cs="Helvetica"/>
          <w:b/>
          <w:bCs/>
          <w:color w:val="1B1B1B"/>
          <w:sz w:val="27"/>
          <w:szCs w:val="27"/>
        </w:rPr>
      </w:pPr>
      <w:r>
        <w:rPr>
          <w:rFonts w:ascii="Helvetica" w:hAnsi="Helvetica" w:cs="Helvetica"/>
          <w:b/>
          <w:bCs/>
          <w:color w:val="1B1B1B"/>
          <w:sz w:val="27"/>
          <w:szCs w:val="27"/>
        </w:rPr>
        <w:t xml:space="preserve">Definicja: Ars </w:t>
      </w:r>
      <w:proofErr w:type="spellStart"/>
      <w:r>
        <w:rPr>
          <w:rFonts w:ascii="Helvetica" w:hAnsi="Helvetica" w:cs="Helvetica"/>
          <w:b/>
          <w:bCs/>
          <w:color w:val="1B1B1B"/>
          <w:sz w:val="27"/>
          <w:szCs w:val="27"/>
        </w:rPr>
        <w:t>moriendi</w:t>
      </w:r>
      <w:proofErr w:type="spellEnd"/>
      <w:r>
        <w:rPr>
          <w:rFonts w:ascii="Helvetica" w:hAnsi="Helvetica" w:cs="Helvetica"/>
          <w:b/>
          <w:bCs/>
          <w:color w:val="1B1B1B"/>
          <w:sz w:val="27"/>
          <w:szCs w:val="27"/>
        </w:rPr>
        <w:t xml:space="preserve"> (łac.)</w:t>
      </w:r>
    </w:p>
    <w:p w:rsidR="00CE405A" w:rsidRDefault="00B10613" w:rsidP="00B10613">
      <w:pPr>
        <w:pStyle w:val="animation-ready"/>
        <w:shd w:val="clear" w:color="auto" w:fill="FFFFFF"/>
        <w:rPr>
          <w:color w:val="1B1B1B"/>
        </w:rPr>
      </w:pPr>
      <w:r>
        <w:rPr>
          <w:rFonts w:ascii="Garamond" w:hAnsi="Garamond" w:cs="Helvetica"/>
          <w:color w:val="1B1B1B"/>
          <w:sz w:val="27"/>
          <w:szCs w:val="27"/>
        </w:rPr>
        <w:t>‘</w:t>
      </w:r>
      <w:r w:rsidRPr="00B10613">
        <w:rPr>
          <w:color w:val="1B1B1B"/>
        </w:rPr>
        <w:t>sztuka umierania’; popularny w średniowieczu gatunek literatury i sztuki</w:t>
      </w:r>
      <w:r>
        <w:rPr>
          <w:color w:val="1B1B1B"/>
        </w:rPr>
        <w:t>.</w:t>
      </w:r>
      <w:r w:rsidRPr="00B10613">
        <w:rPr>
          <w:color w:val="1B1B1B"/>
        </w:rPr>
        <w:t xml:space="preserve"> . Zadaniem </w:t>
      </w:r>
      <w:r w:rsidRPr="00B10613">
        <w:rPr>
          <w:rStyle w:val="Uwydatnienie"/>
          <w:color w:val="1B1B1B"/>
        </w:rPr>
        <w:t xml:space="preserve">ars </w:t>
      </w:r>
      <w:proofErr w:type="spellStart"/>
      <w:r w:rsidRPr="00B10613">
        <w:rPr>
          <w:rStyle w:val="Uwydatnienie"/>
          <w:color w:val="1B1B1B"/>
        </w:rPr>
        <w:t>moriendi</w:t>
      </w:r>
      <w:proofErr w:type="spellEnd"/>
      <w:r w:rsidRPr="00B10613">
        <w:rPr>
          <w:color w:val="1B1B1B"/>
        </w:rPr>
        <w:t> (inna nazwa: </w:t>
      </w:r>
      <w:r w:rsidRPr="00B10613">
        <w:rPr>
          <w:rStyle w:val="Uwydatnienie"/>
          <w:color w:val="1B1B1B"/>
        </w:rPr>
        <w:t xml:space="preserve">ars </w:t>
      </w:r>
      <w:proofErr w:type="spellStart"/>
      <w:r w:rsidRPr="00B10613">
        <w:rPr>
          <w:rStyle w:val="Uwydatnienie"/>
          <w:color w:val="1B1B1B"/>
        </w:rPr>
        <w:t>bene</w:t>
      </w:r>
      <w:proofErr w:type="spellEnd"/>
      <w:r w:rsidRPr="00B10613">
        <w:rPr>
          <w:rStyle w:val="Uwydatnienie"/>
          <w:color w:val="1B1B1B"/>
        </w:rPr>
        <w:t xml:space="preserve"> </w:t>
      </w:r>
      <w:proofErr w:type="spellStart"/>
      <w:r w:rsidRPr="00B10613">
        <w:rPr>
          <w:rStyle w:val="Uwydatnienie"/>
          <w:color w:val="1B1B1B"/>
        </w:rPr>
        <w:t>moriendi</w:t>
      </w:r>
      <w:proofErr w:type="spellEnd"/>
      <w:r w:rsidRPr="00B10613">
        <w:rPr>
          <w:color w:val="1B1B1B"/>
        </w:rPr>
        <w:t xml:space="preserve"> – ‘sztuka dobrego umierania’) było uzmysłowienie </w:t>
      </w:r>
      <w:r w:rsidR="00CE405A">
        <w:rPr>
          <w:color w:val="1B1B1B"/>
        </w:rPr>
        <w:t>umierającemu, jak ważnym momentem jest śmierć.</w:t>
      </w:r>
    </w:p>
    <w:p w:rsidR="00CE405A" w:rsidRPr="00CE405A" w:rsidRDefault="00CE405A" w:rsidP="00CE405A">
      <w:pPr>
        <w:rPr>
          <w:lang w:eastAsia="pl-PL"/>
        </w:rPr>
      </w:pPr>
      <w:r w:rsidRPr="00CE405A">
        <w:rPr>
          <w:lang w:eastAsia="pl-PL"/>
        </w:rPr>
        <w:drawing>
          <wp:inline distT="0" distB="0" distL="0" distR="0">
            <wp:extent cx="4536828" cy="5796000"/>
            <wp:effectExtent l="19050" t="0" r="0" b="0"/>
            <wp:docPr id="10" name="Obraz 2" descr="Ars moriendi Przyjrzyj się rycinie i poszukaj tych elementów, które dawały nadzieję na szczęście wieczne w niebie. Źródło: Mistrz E.S. (nieznany z imienia niemiecki grafik i złotnik), Ars moriendi, ok. 1450, ryt, The Ashmolean Museum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s moriendi Przyjrzyj się rycinie i poszukaj tych elementów, które dawały nadzieję na szczęście wieczne w niebie. Źródło: Mistrz E.S. (nieznany z imienia niemiecki grafik i złotnik), Ars moriendi, ok. 1450, ryt, The Ashmolean Museum, domena publiczna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28" cy="57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05A" w:rsidRDefault="00B10613" w:rsidP="005F28EB">
      <w:pPr>
        <w:shd w:val="clear" w:color="auto" w:fill="FFFFFF"/>
        <w:rPr>
          <w:rFonts w:ascii="Times New Roman" w:hAnsi="Times New Roman" w:cs="Times New Roman"/>
          <w:color w:val="1B1B1B"/>
          <w:sz w:val="28"/>
          <w:szCs w:val="28"/>
        </w:rPr>
      </w:pPr>
      <w:r w:rsidRPr="00206124">
        <w:rPr>
          <w:rFonts w:ascii="Times New Roman" w:hAnsi="Times New Roman" w:cs="Times New Roman"/>
          <w:color w:val="1B1B1B"/>
          <w:sz w:val="28"/>
          <w:szCs w:val="28"/>
        </w:rPr>
        <w:t xml:space="preserve">Aby nauczyć wiernych, jak powinno się umierać, księża i zakonnicy stosowali kilka metod. Wygłaszano kazania, np. pogrzebowe. Układano pieśni, w których </w:t>
      </w:r>
      <w:r w:rsidRPr="00206124">
        <w:rPr>
          <w:rFonts w:ascii="Times New Roman" w:hAnsi="Times New Roman" w:cs="Times New Roman"/>
          <w:color w:val="1B1B1B"/>
          <w:sz w:val="28"/>
          <w:szCs w:val="28"/>
        </w:rPr>
        <w:lastRenderedPageBreak/>
        <w:t>była mowa o rzeczach </w:t>
      </w:r>
      <w:hyperlink r:id="rId6" w:history="1">
        <w:r w:rsidRPr="00206124">
          <w:rPr>
            <w:rStyle w:val="Hipercze"/>
            <w:rFonts w:ascii="Times New Roman" w:hAnsi="Times New Roman" w:cs="Times New Roman"/>
            <w:color w:val="2154AA"/>
            <w:sz w:val="28"/>
            <w:szCs w:val="28"/>
          </w:rPr>
          <w:t>eschatologicznych</w:t>
        </w:r>
      </w:hyperlink>
      <w:r w:rsidRPr="00206124">
        <w:rPr>
          <w:rFonts w:ascii="Times New Roman" w:hAnsi="Times New Roman" w:cs="Times New Roman"/>
          <w:color w:val="1B1B1B"/>
          <w:sz w:val="28"/>
          <w:szCs w:val="28"/>
        </w:rPr>
        <w:t xml:space="preserve">. Modlono się o dobrą śmierć. Powstały odrębne gatunki sztuki, w których umieranie było podstawowym tematem. </w:t>
      </w:r>
    </w:p>
    <w:p w:rsidR="005F28EB" w:rsidRDefault="005F28EB" w:rsidP="005F28EB">
      <w:pPr>
        <w:shd w:val="clear" w:color="auto" w:fill="FFFFFF"/>
        <w:rPr>
          <w:rFonts w:ascii="Helvetica" w:hAnsi="Helvetica" w:cs="Helvetica"/>
          <w:b/>
          <w:bCs/>
          <w:color w:val="1B1B1B"/>
          <w:sz w:val="27"/>
          <w:szCs w:val="27"/>
        </w:rPr>
      </w:pPr>
      <w:r>
        <w:rPr>
          <w:rFonts w:ascii="Helvetica" w:hAnsi="Helvetica" w:cs="Helvetica"/>
          <w:b/>
          <w:bCs/>
          <w:color w:val="1B1B1B"/>
          <w:sz w:val="27"/>
          <w:szCs w:val="27"/>
        </w:rPr>
        <w:t xml:space="preserve">Definicja: </w:t>
      </w:r>
      <w:proofErr w:type="spellStart"/>
      <w:r>
        <w:rPr>
          <w:rFonts w:ascii="Helvetica" w:hAnsi="Helvetica" w:cs="Helvetica"/>
          <w:b/>
          <w:bCs/>
          <w:color w:val="1B1B1B"/>
          <w:sz w:val="27"/>
          <w:szCs w:val="27"/>
        </w:rPr>
        <w:t>Danse</w:t>
      </w:r>
      <w:proofErr w:type="spellEnd"/>
      <w:r>
        <w:rPr>
          <w:rFonts w:ascii="Helvetica" w:hAnsi="Helvetica" w:cs="Helvetica"/>
          <w:b/>
          <w:bCs/>
          <w:color w:val="1B1B1B"/>
          <w:sz w:val="27"/>
          <w:szCs w:val="27"/>
        </w:rPr>
        <w:t xml:space="preserve"> </w:t>
      </w:r>
      <w:proofErr w:type="spellStart"/>
      <w:r>
        <w:rPr>
          <w:rFonts w:ascii="Helvetica" w:hAnsi="Helvetica" w:cs="Helvetica"/>
          <w:b/>
          <w:bCs/>
          <w:color w:val="1B1B1B"/>
          <w:sz w:val="27"/>
          <w:szCs w:val="27"/>
        </w:rPr>
        <w:t>macabre</w:t>
      </w:r>
      <w:proofErr w:type="spellEnd"/>
      <w:r>
        <w:rPr>
          <w:rFonts w:ascii="Helvetica" w:hAnsi="Helvetica" w:cs="Helvetica"/>
          <w:b/>
          <w:bCs/>
          <w:color w:val="1B1B1B"/>
          <w:sz w:val="27"/>
          <w:szCs w:val="27"/>
        </w:rPr>
        <w:t xml:space="preserve"> (franc.)</w:t>
      </w:r>
      <w:r w:rsidR="00206124">
        <w:rPr>
          <w:rFonts w:ascii="Helvetica" w:hAnsi="Helvetica" w:cs="Helvetica"/>
          <w:b/>
          <w:bCs/>
          <w:color w:val="1B1B1B"/>
          <w:sz w:val="27"/>
          <w:szCs w:val="27"/>
        </w:rPr>
        <w:t xml:space="preserve"> czyt. </w:t>
      </w:r>
      <w:proofErr w:type="spellStart"/>
      <w:r w:rsidR="00206124">
        <w:rPr>
          <w:rFonts w:ascii="Helvetica" w:hAnsi="Helvetica" w:cs="Helvetica"/>
          <w:b/>
          <w:bCs/>
          <w:color w:val="1B1B1B"/>
          <w:sz w:val="27"/>
          <w:szCs w:val="27"/>
        </w:rPr>
        <w:t>dans</w:t>
      </w:r>
      <w:proofErr w:type="spellEnd"/>
      <w:r w:rsidR="00206124">
        <w:rPr>
          <w:rFonts w:ascii="Helvetica" w:hAnsi="Helvetica" w:cs="Helvetica"/>
          <w:b/>
          <w:bCs/>
          <w:color w:val="1B1B1B"/>
          <w:sz w:val="27"/>
          <w:szCs w:val="27"/>
        </w:rPr>
        <w:t xml:space="preserve"> makabr</w:t>
      </w:r>
    </w:p>
    <w:p w:rsidR="005F28EB" w:rsidRDefault="005F28EB" w:rsidP="00B10613">
      <w:pPr>
        <w:pStyle w:val="Normalny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B1B1B"/>
          <w:sz w:val="27"/>
          <w:szCs w:val="27"/>
        </w:rPr>
      </w:pPr>
      <w:r w:rsidRPr="00206124">
        <w:rPr>
          <w:color w:val="0070C0"/>
          <w:sz w:val="28"/>
          <w:szCs w:val="28"/>
        </w:rPr>
        <w:t xml:space="preserve">‘taniec śmierci’; jeden z najpopularniejszych motywów w sztuce plastycznej i literaturze średniowiecznej, powstały pod koniec XIII wieku. </w:t>
      </w:r>
      <w:r w:rsidRPr="00206124">
        <w:rPr>
          <w:b/>
          <w:color w:val="0070C0"/>
          <w:sz w:val="28"/>
          <w:szCs w:val="28"/>
        </w:rPr>
        <w:t>Taniec śmierci</w:t>
      </w:r>
      <w:r w:rsidRPr="00206124">
        <w:rPr>
          <w:color w:val="0070C0"/>
          <w:sz w:val="28"/>
          <w:szCs w:val="28"/>
        </w:rPr>
        <w:t xml:space="preserve"> </w:t>
      </w:r>
      <w:r w:rsidRPr="00206124">
        <w:rPr>
          <w:b/>
          <w:color w:val="0070C0"/>
          <w:sz w:val="28"/>
          <w:szCs w:val="28"/>
        </w:rPr>
        <w:t>przedstawiał korowód tytułowej postaci (zwykle</w:t>
      </w:r>
      <w:r w:rsidRPr="00206124">
        <w:rPr>
          <w:color w:val="0070C0"/>
          <w:sz w:val="28"/>
          <w:szCs w:val="28"/>
        </w:rPr>
        <w:t xml:space="preserve"> </w:t>
      </w:r>
      <w:r w:rsidRPr="00206124">
        <w:rPr>
          <w:b/>
          <w:color w:val="0070C0"/>
          <w:sz w:val="28"/>
          <w:szCs w:val="28"/>
        </w:rPr>
        <w:t>kościotrupa)</w:t>
      </w:r>
      <w:r w:rsidRPr="00206124">
        <w:rPr>
          <w:color w:val="0070C0"/>
          <w:sz w:val="28"/>
          <w:szCs w:val="28"/>
        </w:rPr>
        <w:t xml:space="preserve"> </w:t>
      </w:r>
      <w:r w:rsidRPr="00206124">
        <w:rPr>
          <w:b/>
          <w:color w:val="0070C0"/>
          <w:sz w:val="28"/>
          <w:szCs w:val="28"/>
        </w:rPr>
        <w:t>i</w:t>
      </w:r>
      <w:r w:rsidRPr="00206124">
        <w:rPr>
          <w:color w:val="0070C0"/>
          <w:sz w:val="28"/>
          <w:szCs w:val="28"/>
        </w:rPr>
        <w:t> </w:t>
      </w:r>
      <w:r w:rsidRPr="00206124">
        <w:rPr>
          <w:b/>
          <w:color w:val="0070C0"/>
          <w:sz w:val="28"/>
          <w:szCs w:val="28"/>
        </w:rPr>
        <w:t>reprezentantów różnych płci, wieku,</w:t>
      </w:r>
      <w:r w:rsidRPr="00206124">
        <w:rPr>
          <w:color w:val="0070C0"/>
          <w:sz w:val="28"/>
          <w:szCs w:val="28"/>
        </w:rPr>
        <w:t xml:space="preserve"> </w:t>
      </w:r>
      <w:r w:rsidRPr="00206124">
        <w:rPr>
          <w:b/>
          <w:color w:val="0070C0"/>
          <w:sz w:val="28"/>
          <w:szCs w:val="28"/>
        </w:rPr>
        <w:t>zawodów, funkcji itd</w:t>
      </w:r>
      <w:r w:rsidRPr="00206124">
        <w:rPr>
          <w:color w:val="0070C0"/>
          <w:sz w:val="28"/>
          <w:szCs w:val="28"/>
        </w:rPr>
        <w:t xml:space="preserve">. </w:t>
      </w:r>
      <w:r w:rsidRPr="00206124">
        <w:rPr>
          <w:b/>
          <w:color w:val="0070C0"/>
          <w:sz w:val="28"/>
          <w:szCs w:val="28"/>
        </w:rPr>
        <w:t>Zadaniem </w:t>
      </w:r>
      <w:proofErr w:type="spellStart"/>
      <w:r w:rsidRPr="00206124">
        <w:rPr>
          <w:rStyle w:val="Uwydatnienie"/>
          <w:b/>
          <w:color w:val="0070C0"/>
          <w:sz w:val="28"/>
          <w:szCs w:val="28"/>
        </w:rPr>
        <w:t>danse</w:t>
      </w:r>
      <w:proofErr w:type="spellEnd"/>
      <w:r w:rsidRPr="00206124">
        <w:rPr>
          <w:rStyle w:val="Uwydatnienie"/>
          <w:b/>
          <w:color w:val="0070C0"/>
          <w:sz w:val="28"/>
          <w:szCs w:val="28"/>
        </w:rPr>
        <w:t xml:space="preserve"> </w:t>
      </w:r>
      <w:proofErr w:type="spellStart"/>
      <w:r w:rsidRPr="00206124">
        <w:rPr>
          <w:rStyle w:val="Uwydatnienie"/>
          <w:b/>
          <w:color w:val="0070C0"/>
          <w:sz w:val="28"/>
          <w:szCs w:val="28"/>
        </w:rPr>
        <w:t>macabre</w:t>
      </w:r>
      <w:proofErr w:type="spellEnd"/>
      <w:r w:rsidRPr="00206124">
        <w:rPr>
          <w:b/>
          <w:color w:val="0070C0"/>
          <w:sz w:val="28"/>
          <w:szCs w:val="28"/>
        </w:rPr>
        <w:t> było uzmysłowienie równości wszystkich ludzi wobec śmierci.</w:t>
      </w:r>
      <w:r w:rsidR="00B10613" w:rsidRPr="00B10613">
        <w:rPr>
          <w:rFonts w:ascii="Helvetica" w:hAnsi="Helvetica" w:cs="Helvetica"/>
          <w:noProof/>
          <w:color w:val="1B1B1B"/>
          <w:sz w:val="27"/>
          <w:szCs w:val="27"/>
        </w:rPr>
        <w:t xml:space="preserve"> </w:t>
      </w:r>
      <w:r>
        <w:rPr>
          <w:rFonts w:ascii="Helvetica" w:hAnsi="Helvetica" w:cs="Helvetica"/>
          <w:noProof/>
          <w:color w:val="1B1B1B"/>
          <w:sz w:val="27"/>
          <w:szCs w:val="27"/>
        </w:rPr>
        <w:drawing>
          <wp:inline distT="0" distB="0" distL="0" distR="0">
            <wp:extent cx="5651801" cy="7344000"/>
            <wp:effectExtent l="19050" t="0" r="6049" b="0"/>
            <wp:docPr id="1" name="Obraz 1" descr="Taniec śmierci Źródło: Taniec śmierci, około 1670, olej na płótnie, kościół ojców Bernardynów w Krakowie, domena publicz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niec śmierci Źródło: Taniec śmierci, około 1670, olej na płótnie, kościół ojców Bernardynów w Krakowie, domena publiczn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01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8EB" w:rsidRDefault="005F28EB" w:rsidP="005F28EB">
      <w:pPr>
        <w:shd w:val="clear" w:color="auto" w:fill="FFFFFF"/>
        <w:rPr>
          <w:rFonts w:ascii="Helvetica" w:hAnsi="Helvetica" w:cs="Helvetica"/>
          <w:color w:val="1B1B1B"/>
          <w:sz w:val="27"/>
          <w:szCs w:val="27"/>
        </w:rPr>
      </w:pPr>
      <w:r>
        <w:rPr>
          <w:rFonts w:ascii="Helvetica" w:hAnsi="Helvetica" w:cs="Helvetica"/>
          <w:color w:val="1B1B1B"/>
          <w:sz w:val="27"/>
          <w:szCs w:val="27"/>
        </w:rPr>
        <w:t>Taniec śmierci</w:t>
      </w:r>
    </w:p>
    <w:p w:rsidR="00CE405A" w:rsidRDefault="005F28EB" w:rsidP="005F28EB">
      <w:pPr>
        <w:shd w:val="clear" w:color="auto" w:fill="FFFFFF"/>
        <w:rPr>
          <w:rFonts w:ascii="Helvetica" w:hAnsi="Helvetica" w:cs="Helvetica"/>
          <w:color w:val="1B1B1B"/>
          <w:sz w:val="27"/>
          <w:szCs w:val="27"/>
        </w:rPr>
      </w:pPr>
      <w:r w:rsidRPr="00CE405A">
        <w:rPr>
          <w:rFonts w:ascii="Helvetica" w:hAnsi="Helvetica" w:cs="Helvetica"/>
          <w:color w:val="0070C0"/>
          <w:sz w:val="27"/>
          <w:szCs w:val="27"/>
        </w:rPr>
        <w:lastRenderedPageBreak/>
        <w:t>Taniec śmierci</w:t>
      </w:r>
      <w:r>
        <w:rPr>
          <w:rFonts w:ascii="Helvetica" w:hAnsi="Helvetica" w:cs="Helvetica"/>
          <w:color w:val="1B1B1B"/>
          <w:sz w:val="27"/>
          <w:szCs w:val="27"/>
        </w:rPr>
        <w:t>, około 1670, olej na płótnie, kościół ojców Bernardynów w Krakowie</w:t>
      </w:r>
    </w:p>
    <w:p w:rsidR="005F28EB" w:rsidRPr="00CE405A" w:rsidRDefault="005F28EB" w:rsidP="005F28EB">
      <w:pPr>
        <w:shd w:val="clear" w:color="auto" w:fill="FFFFFF"/>
        <w:rPr>
          <w:rFonts w:ascii="Times New Roman" w:hAnsi="Times New Roman" w:cs="Times New Roman"/>
          <w:b/>
          <w:bCs/>
          <w:color w:val="1B1B1B"/>
          <w:sz w:val="28"/>
          <w:szCs w:val="28"/>
        </w:rPr>
      </w:pPr>
      <w:r w:rsidRPr="00CE405A">
        <w:rPr>
          <w:rFonts w:ascii="Times New Roman" w:hAnsi="Times New Roman" w:cs="Times New Roman"/>
          <w:b/>
          <w:bCs/>
          <w:color w:val="1B1B1B"/>
          <w:sz w:val="28"/>
          <w:szCs w:val="28"/>
        </w:rPr>
        <w:t>Ćwiczenie </w:t>
      </w:r>
    </w:p>
    <w:p w:rsidR="005F28EB" w:rsidRDefault="005F28EB" w:rsidP="005F28EB">
      <w:pPr>
        <w:pStyle w:val="NormalnyWeb"/>
        <w:shd w:val="clear" w:color="auto" w:fill="FFFFFF"/>
        <w:rPr>
          <w:b/>
          <w:color w:val="1B1B1B"/>
          <w:sz w:val="28"/>
          <w:szCs w:val="28"/>
        </w:rPr>
      </w:pPr>
      <w:r w:rsidRPr="00CE405A">
        <w:rPr>
          <w:b/>
          <w:color w:val="1B1B1B"/>
          <w:sz w:val="28"/>
          <w:szCs w:val="28"/>
        </w:rPr>
        <w:t xml:space="preserve">Przyjrzyj się dziełu i poszukaj jak najwięcej elementów </w:t>
      </w:r>
      <w:r w:rsidR="00B10613" w:rsidRPr="00CE405A">
        <w:rPr>
          <w:b/>
          <w:color w:val="1B1B1B"/>
          <w:sz w:val="28"/>
          <w:szCs w:val="28"/>
        </w:rPr>
        <w:t xml:space="preserve">uzasadniających </w:t>
      </w:r>
      <w:r w:rsidRPr="00CE405A">
        <w:rPr>
          <w:b/>
          <w:color w:val="1B1B1B"/>
          <w:sz w:val="28"/>
          <w:szCs w:val="28"/>
        </w:rPr>
        <w:t>tytuł </w:t>
      </w:r>
      <w:r w:rsidRPr="00CE405A">
        <w:rPr>
          <w:rStyle w:val="Uwydatnienie"/>
          <w:b/>
          <w:color w:val="1B1B1B"/>
          <w:sz w:val="28"/>
          <w:szCs w:val="28"/>
        </w:rPr>
        <w:t>Taniec śmierci</w:t>
      </w:r>
      <w:r w:rsidRPr="00CE405A">
        <w:rPr>
          <w:b/>
          <w:color w:val="1B1B1B"/>
          <w:sz w:val="28"/>
          <w:szCs w:val="28"/>
        </w:rPr>
        <w:t>.</w:t>
      </w:r>
    </w:p>
    <w:p w:rsidR="00CE405A" w:rsidRDefault="00CE405A" w:rsidP="005F28EB">
      <w:pPr>
        <w:pStyle w:val="NormalnyWeb"/>
        <w:shd w:val="clear" w:color="auto" w:fill="FFFFFF"/>
        <w:rPr>
          <w:b/>
          <w:color w:val="1B1B1B"/>
          <w:sz w:val="28"/>
          <w:szCs w:val="28"/>
        </w:rPr>
      </w:pPr>
      <w:r>
        <w:rPr>
          <w:b/>
          <w:color w:val="1B1B1B"/>
          <w:sz w:val="28"/>
          <w:szCs w:val="28"/>
        </w:rPr>
        <w:t>Ćwiczenie</w:t>
      </w:r>
    </w:p>
    <w:p w:rsidR="00CE405A" w:rsidRPr="00CE405A" w:rsidRDefault="00736D33" w:rsidP="005F28EB">
      <w:pPr>
        <w:pStyle w:val="NormalnyWeb"/>
        <w:shd w:val="clear" w:color="auto" w:fill="FFFFFF"/>
        <w:rPr>
          <w:b/>
          <w:color w:val="1B1B1B"/>
          <w:sz w:val="28"/>
          <w:szCs w:val="28"/>
        </w:rPr>
      </w:pPr>
      <w:r>
        <w:rPr>
          <w:b/>
          <w:color w:val="1B1B1B"/>
          <w:sz w:val="28"/>
          <w:szCs w:val="28"/>
        </w:rPr>
        <w:t xml:space="preserve">Dlaczego, Twoim zdaniem,   </w:t>
      </w:r>
      <w:proofErr w:type="spellStart"/>
      <w:r>
        <w:rPr>
          <w:b/>
          <w:color w:val="1B1B1B"/>
          <w:sz w:val="28"/>
          <w:szCs w:val="28"/>
        </w:rPr>
        <w:t>śmiercie</w:t>
      </w:r>
      <w:proofErr w:type="spellEnd"/>
      <w:r>
        <w:rPr>
          <w:b/>
          <w:color w:val="1B1B1B"/>
          <w:sz w:val="28"/>
          <w:szCs w:val="28"/>
        </w:rPr>
        <w:t xml:space="preserve"> tańczą, z czego się cieszą?</w:t>
      </w:r>
    </w:p>
    <w:p w:rsidR="003175DA" w:rsidRDefault="00CE405A" w:rsidP="00BA0CA6">
      <w:pPr>
        <w:rPr>
          <w:rFonts w:ascii="Garamond" w:eastAsia="Times New Roman" w:hAnsi="Garamond" w:cs="Helvetica"/>
          <w:sz w:val="27"/>
          <w:szCs w:val="27"/>
          <w:lang w:eastAsia="pl-PL"/>
        </w:rPr>
      </w:pPr>
      <w:r w:rsidRPr="00CE405A">
        <w:rPr>
          <w:rFonts w:ascii="Garamond" w:eastAsia="Times New Roman" w:hAnsi="Garamond" w:cs="Helvetica"/>
          <w:sz w:val="27"/>
          <w:szCs w:val="27"/>
          <w:lang w:eastAsia="pl-PL"/>
        </w:rPr>
        <w:drawing>
          <wp:inline distT="0" distB="0" distL="0" distR="0">
            <wp:extent cx="5760720" cy="4962582"/>
            <wp:effectExtent l="19050" t="0" r="0" b="0"/>
            <wp:docPr id="11" name="Obraz 5" descr="https://static.epodreczniki.pl/portal/f/res-minimized/R1Snmlfd0WTnn/3/1dJ1LNkpYKgn4EZTf25M2aBG9IQeQ3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epodreczniki.pl/portal/f/res-minimized/R1Snmlfd0WTnn/3/1dJ1LNkpYKgn4EZTf25M2aBG9IQeQ3E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DA" w:rsidRPr="003175DA" w:rsidRDefault="003175DA" w:rsidP="003175DA">
      <w:pPr>
        <w:rPr>
          <w:rFonts w:ascii="Garamond" w:eastAsia="Times New Roman" w:hAnsi="Garamond" w:cs="Helvetica"/>
          <w:sz w:val="27"/>
          <w:szCs w:val="27"/>
          <w:lang w:eastAsia="pl-PL"/>
        </w:rPr>
      </w:pPr>
    </w:p>
    <w:p w:rsidR="003175DA" w:rsidRDefault="003175DA" w:rsidP="003175DA">
      <w:pPr>
        <w:pStyle w:val="NormalnyWeb"/>
        <w:shd w:val="clear" w:color="auto" w:fill="FFFFFF"/>
        <w:rPr>
          <w:b/>
          <w:color w:val="1B1B1B"/>
          <w:sz w:val="28"/>
          <w:szCs w:val="28"/>
        </w:rPr>
      </w:pPr>
      <w:r>
        <w:rPr>
          <w:b/>
          <w:color w:val="1B1B1B"/>
          <w:sz w:val="28"/>
          <w:szCs w:val="28"/>
        </w:rPr>
        <w:t>Ćwiczenie</w:t>
      </w:r>
    </w:p>
    <w:p w:rsidR="003175DA" w:rsidRPr="003175DA" w:rsidRDefault="003175DA" w:rsidP="003175DA">
      <w:pPr>
        <w:pStyle w:val="NormalnyWeb"/>
        <w:shd w:val="clear" w:color="auto" w:fill="FFFFFF"/>
        <w:rPr>
          <w:color w:val="1B1B1B"/>
          <w:sz w:val="28"/>
          <w:szCs w:val="28"/>
        </w:rPr>
      </w:pPr>
      <w:r w:rsidRPr="003175DA">
        <w:rPr>
          <w:color w:val="1B1B1B"/>
          <w:sz w:val="28"/>
          <w:szCs w:val="28"/>
        </w:rPr>
        <w:t xml:space="preserve">Poniższy </w:t>
      </w:r>
      <w:r>
        <w:rPr>
          <w:color w:val="1B1B1B"/>
          <w:sz w:val="28"/>
          <w:szCs w:val="28"/>
        </w:rPr>
        <w:t>szkic przedstawia ofiary śmierci. Zwróć uwagę na ich strój i wygląd. Jakie warstwy społeczne mogą symbolizować te postacie? Jaka jest wymowa dzieła?</w:t>
      </w:r>
    </w:p>
    <w:p w:rsidR="005F28EB" w:rsidRPr="003175DA" w:rsidRDefault="005F28EB" w:rsidP="003175DA">
      <w:pPr>
        <w:rPr>
          <w:rFonts w:ascii="Garamond" w:eastAsia="Times New Roman" w:hAnsi="Garamond" w:cs="Helvetica"/>
          <w:sz w:val="27"/>
          <w:szCs w:val="27"/>
          <w:lang w:eastAsia="pl-PL"/>
        </w:rPr>
      </w:pPr>
    </w:p>
    <w:p w:rsidR="00771258" w:rsidRDefault="005F28EB">
      <w:r>
        <w:rPr>
          <w:noProof/>
          <w:lang w:eastAsia="pl-PL"/>
        </w:rPr>
        <w:lastRenderedPageBreak/>
        <w:drawing>
          <wp:inline distT="0" distB="0" distL="0" distR="0">
            <wp:extent cx="5760720" cy="3737372"/>
            <wp:effectExtent l="19050" t="0" r="0" b="0"/>
            <wp:docPr id="8" name="Obraz 8" descr="https://static.epodreczniki.pl/portal/f/res-minimized/RRdkhlAndgpfx/3/1it7UkfSIbMrmBZuybcpxH5S4pLdVe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epodreczniki.pl/portal/f/res-minimized/RRdkhlAndgpfx/3/1it7UkfSIbMrmBZuybcpxH5S4pLdVeH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BD" w:rsidRDefault="00C654CB">
      <w:hyperlink r:id="rId10" w:history="1">
        <w:r w:rsidR="003A5075" w:rsidRPr="00041D6A">
          <w:rPr>
            <w:rStyle w:val="Hipercze"/>
          </w:rPr>
          <w:t>https://youtu.be/oh3boKKVhG8</w:t>
        </w:r>
      </w:hyperlink>
    </w:p>
    <w:p w:rsidR="003A5075" w:rsidRDefault="003A5075"/>
    <w:sectPr w:rsidR="003A5075" w:rsidSect="00CE405A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3A5075"/>
    <w:rsid w:val="0019653D"/>
    <w:rsid w:val="00206124"/>
    <w:rsid w:val="00243F1B"/>
    <w:rsid w:val="003175DA"/>
    <w:rsid w:val="003A5075"/>
    <w:rsid w:val="0045610A"/>
    <w:rsid w:val="005F28EB"/>
    <w:rsid w:val="00736D33"/>
    <w:rsid w:val="00771258"/>
    <w:rsid w:val="00B10613"/>
    <w:rsid w:val="00BA0CA6"/>
    <w:rsid w:val="00C654CB"/>
    <w:rsid w:val="00CE405A"/>
    <w:rsid w:val="00FE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5610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A5075"/>
    <w:rPr>
      <w:color w:val="0000FF" w:themeColor="hyperlink"/>
      <w:u w:val="single"/>
    </w:rPr>
  </w:style>
  <w:style w:type="paragraph" w:customStyle="1" w:styleId="animation-ready">
    <w:name w:val="animation-ready"/>
    <w:basedOn w:val="Normalny"/>
    <w:rsid w:val="005F2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F28EB"/>
    <w:rPr>
      <w:i/>
      <w:iCs/>
    </w:rPr>
  </w:style>
  <w:style w:type="paragraph" w:styleId="NormalnyWeb">
    <w:name w:val="Normal (Web)"/>
    <w:basedOn w:val="Normalny"/>
    <w:uiPriority w:val="99"/>
    <w:unhideWhenUsed/>
    <w:rsid w:val="005F2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5F28EB"/>
  </w:style>
  <w:style w:type="paragraph" w:styleId="Tekstdymka">
    <w:name w:val="Balloon Text"/>
    <w:basedOn w:val="Normalny"/>
    <w:link w:val="TekstdymkaZnak"/>
    <w:uiPriority w:val="99"/>
    <w:semiHidden/>
    <w:unhideWhenUsed/>
    <w:rsid w:val="005F2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2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1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4420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74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08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9557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64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1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9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75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946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9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6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3429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8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28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40379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7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48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13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762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79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80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youtu.be/oh3boKKVhG8" TargetMode="External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308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</dc:creator>
  <cp:keywords/>
  <dc:description/>
  <cp:lastModifiedBy>Krystyna</cp:lastModifiedBy>
  <cp:revision>8</cp:revision>
  <dcterms:created xsi:type="dcterms:W3CDTF">2020-12-07T10:50:00Z</dcterms:created>
  <dcterms:modified xsi:type="dcterms:W3CDTF">2020-12-07T11:26:00Z</dcterms:modified>
</cp:coreProperties>
</file>