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01" w:rsidRDefault="00671601" w:rsidP="00671601">
      <w:pPr>
        <w:ind w:left="7080" w:firstLine="708"/>
      </w:pPr>
      <w:r>
        <w:t>06.XI.2020</w:t>
      </w:r>
    </w:p>
    <w:p w:rsidR="00671601" w:rsidRPr="00671601" w:rsidRDefault="00671601" w:rsidP="00671601">
      <w:pPr>
        <w:ind w:left="709" w:hanging="709"/>
        <w:rPr>
          <w:b/>
        </w:rPr>
      </w:pPr>
      <w:r>
        <w:t>Temat: „</w:t>
      </w:r>
      <w:r w:rsidRPr="00671601">
        <w:rPr>
          <w:b/>
        </w:rPr>
        <w:t>Opowiadania” T. Borowskiego a „Inny świat” G. Herlinga- Gr</w:t>
      </w:r>
      <w:r>
        <w:rPr>
          <w:b/>
        </w:rPr>
        <w:t>u</w:t>
      </w:r>
      <w:r w:rsidRPr="00671601">
        <w:rPr>
          <w:b/>
        </w:rPr>
        <w:t>dzińskiego-</w:t>
      </w:r>
      <w:r>
        <w:rPr>
          <w:b/>
        </w:rPr>
        <w:t xml:space="preserve"> </w:t>
      </w:r>
      <w:r w:rsidRPr="00671601">
        <w:rPr>
          <w:b/>
        </w:rPr>
        <w:t>próba p</w:t>
      </w:r>
      <w:r>
        <w:rPr>
          <w:b/>
        </w:rPr>
        <w:t>o</w:t>
      </w:r>
      <w:r w:rsidRPr="00671601">
        <w:rPr>
          <w:b/>
        </w:rPr>
        <w:t>równania.</w:t>
      </w:r>
      <w:r w:rsidR="00062DFB">
        <w:rPr>
          <w:b/>
        </w:rPr>
        <w:t xml:space="preserve"> Ćwiczenie umiejętności czytania ze zrozumieniem.</w:t>
      </w:r>
    </w:p>
    <w:p w:rsidR="00671601" w:rsidRPr="00671601" w:rsidRDefault="00671601" w:rsidP="00DF5616">
      <w:pPr>
        <w:rPr>
          <w:b/>
        </w:rPr>
      </w:pPr>
    </w:p>
    <w:p w:rsidR="00671601" w:rsidRPr="00671601" w:rsidRDefault="00671601" w:rsidP="00DF5616">
      <w:pPr>
        <w:rPr>
          <w:b/>
        </w:rPr>
      </w:pPr>
    </w:p>
    <w:p w:rsidR="00DF5616" w:rsidRDefault="0054754D" w:rsidP="00DF5616">
      <w:r>
        <w:t xml:space="preserve">Celem lekcji jest porównanie mówionych utworów i dostrzeżenie podobieństw </w:t>
      </w:r>
      <w:r w:rsidR="001F2C3F">
        <w:t xml:space="preserve">i różnic </w:t>
      </w:r>
      <w:r>
        <w:t>między nimi</w:t>
      </w:r>
      <w:r w:rsidR="001F2C3F">
        <w:t>.</w:t>
      </w:r>
    </w:p>
    <w:p w:rsidR="0054754D" w:rsidRDefault="0054754D" w:rsidP="00DF5616">
      <w:r>
        <w:t>Wnioski należy przedstawić w postaci tabeli. Wszystkie zagadnienia zostały omówione</w:t>
      </w:r>
      <w:r w:rsidR="001F2C3F">
        <w:t xml:space="preserve">           </w:t>
      </w:r>
      <w:r w:rsidR="00EE1B7C">
        <w:t xml:space="preserve"> </w:t>
      </w:r>
      <w:r>
        <w:t xml:space="preserve">i dostarczone  w materiałach przesłanych przeze mnie. </w:t>
      </w:r>
    </w:p>
    <w:p w:rsidR="0054754D" w:rsidRDefault="0054754D" w:rsidP="00DF5616"/>
    <w:tbl>
      <w:tblPr>
        <w:tblStyle w:val="Tabela-Siatka"/>
        <w:tblW w:w="9900" w:type="dxa"/>
        <w:tblInd w:w="-432" w:type="dxa"/>
        <w:tblLayout w:type="fixed"/>
        <w:tblLook w:val="01E0"/>
      </w:tblPr>
      <w:tblGrid>
        <w:gridCol w:w="1249"/>
        <w:gridCol w:w="3827"/>
        <w:gridCol w:w="4824"/>
      </w:tblGrid>
      <w:tr w:rsidR="00DF5616" w:rsidTr="001F2C3F">
        <w:tc>
          <w:tcPr>
            <w:tcW w:w="1249" w:type="dxa"/>
          </w:tcPr>
          <w:p w:rsidR="00DF5616" w:rsidRDefault="00DF5616" w:rsidP="00800BEE"/>
        </w:tc>
        <w:tc>
          <w:tcPr>
            <w:tcW w:w="3827" w:type="dxa"/>
          </w:tcPr>
          <w:p w:rsidR="00DF5616" w:rsidRDefault="00DF5616" w:rsidP="00800BEE">
            <w:r>
              <w:t>„Opowiadania”                           Tadeusza Borowskiego</w:t>
            </w:r>
          </w:p>
        </w:tc>
        <w:tc>
          <w:tcPr>
            <w:tcW w:w="4824" w:type="dxa"/>
          </w:tcPr>
          <w:p w:rsidR="00DF5616" w:rsidRDefault="00DF5616" w:rsidP="00800BEE">
            <w:r>
              <w:t xml:space="preserve">„Inny świat”                                      </w:t>
            </w:r>
            <w:r w:rsidR="001F2C3F">
              <w:t xml:space="preserve">            </w:t>
            </w:r>
            <w:r>
              <w:t xml:space="preserve"> Gustawa Herlinga- Grudzińskiego</w:t>
            </w:r>
          </w:p>
        </w:tc>
      </w:tr>
      <w:tr w:rsidR="00DF5616" w:rsidTr="001F2C3F">
        <w:tc>
          <w:tcPr>
            <w:tcW w:w="1249" w:type="dxa"/>
          </w:tcPr>
          <w:p w:rsidR="00DF5616" w:rsidRDefault="00DF5616" w:rsidP="00800BEE">
            <w:r>
              <w:t>Rok wydania</w:t>
            </w:r>
          </w:p>
        </w:tc>
        <w:tc>
          <w:tcPr>
            <w:tcW w:w="3827" w:type="dxa"/>
          </w:tcPr>
          <w:p w:rsidR="00DF5616" w:rsidRDefault="00DF5616" w:rsidP="00800BEE">
            <w:r>
              <w:t>1948 r.</w:t>
            </w:r>
          </w:p>
        </w:tc>
        <w:tc>
          <w:tcPr>
            <w:tcW w:w="4824" w:type="dxa"/>
          </w:tcPr>
          <w:p w:rsidR="00DF5616" w:rsidRDefault="00DF5616" w:rsidP="00800BEE"/>
          <w:p w:rsidR="001F2C3F" w:rsidRPr="001F2C3F" w:rsidRDefault="001F2C3F" w:rsidP="00800BEE">
            <w:pPr>
              <w:rPr>
                <w:vertAlign w:val="subscript"/>
              </w:rPr>
            </w:pPr>
            <w:r>
              <w:rPr>
                <w:vertAlign w:val="subscript"/>
              </w:rPr>
              <w:t>………………………………………………………………….</w:t>
            </w:r>
          </w:p>
        </w:tc>
      </w:tr>
      <w:tr w:rsidR="00DF5616" w:rsidTr="001F2C3F">
        <w:trPr>
          <w:trHeight w:val="1735"/>
        </w:trPr>
        <w:tc>
          <w:tcPr>
            <w:tcW w:w="1249" w:type="dxa"/>
          </w:tcPr>
          <w:p w:rsidR="00DF5616" w:rsidRDefault="00DF5616" w:rsidP="00800BEE">
            <w:r>
              <w:t>Treść</w:t>
            </w:r>
          </w:p>
        </w:tc>
        <w:tc>
          <w:tcPr>
            <w:tcW w:w="3827" w:type="dxa"/>
          </w:tcPr>
          <w:p w:rsidR="00DF5616" w:rsidRDefault="00DF5616" w:rsidP="00800BEE">
            <w:r>
              <w:t>Obraz mieszkańców okupowanej Warszawy i życia więźniów   oraz byłych więźniów obozów koncentracyjnych.</w:t>
            </w:r>
          </w:p>
        </w:tc>
        <w:tc>
          <w:tcPr>
            <w:tcW w:w="4824" w:type="dxa"/>
          </w:tcPr>
          <w:p w:rsidR="00DF5616" w:rsidRDefault="001F2C3F" w:rsidP="00800BEE">
            <w:r>
              <w:t>……………………………………………</w:t>
            </w:r>
          </w:p>
          <w:p w:rsidR="001F2C3F" w:rsidRDefault="001F2C3F" w:rsidP="00800BEE"/>
          <w:p w:rsidR="001F2C3F" w:rsidRDefault="001F2C3F" w:rsidP="00800BEE">
            <w:r>
              <w:t>……………………………………………</w:t>
            </w:r>
          </w:p>
          <w:p w:rsidR="001F2C3F" w:rsidRDefault="001F2C3F" w:rsidP="00800BEE"/>
          <w:p w:rsidR="001F2C3F" w:rsidRDefault="001F2C3F" w:rsidP="00800BEE">
            <w:r>
              <w:t>……………………………………………</w:t>
            </w:r>
          </w:p>
        </w:tc>
      </w:tr>
      <w:tr w:rsidR="00DF5616" w:rsidTr="001F2C3F">
        <w:tc>
          <w:tcPr>
            <w:tcW w:w="1249" w:type="dxa"/>
          </w:tcPr>
          <w:p w:rsidR="00DF5616" w:rsidRDefault="00DF5616" w:rsidP="00800BEE">
            <w:r>
              <w:t xml:space="preserve">Forma, </w:t>
            </w:r>
          </w:p>
          <w:p w:rsidR="00DF5616" w:rsidRDefault="00DF5616" w:rsidP="00800BEE">
            <w:r>
              <w:t>gatunek lit.</w:t>
            </w:r>
            <w:r w:rsidR="001F2C3F">
              <w:t>:</w:t>
            </w:r>
          </w:p>
        </w:tc>
        <w:tc>
          <w:tcPr>
            <w:tcW w:w="3827" w:type="dxa"/>
          </w:tcPr>
          <w:p w:rsidR="00DF5616" w:rsidRDefault="001F2C3F" w:rsidP="001F2C3F">
            <w:r>
              <w:t>p</w:t>
            </w:r>
            <w:r w:rsidR="00DF5616">
              <w:t>ołączenie fikcji z elementami biografii autora, opowiadanie.</w:t>
            </w:r>
          </w:p>
        </w:tc>
        <w:tc>
          <w:tcPr>
            <w:tcW w:w="4824" w:type="dxa"/>
          </w:tcPr>
          <w:p w:rsidR="00DF5616" w:rsidRDefault="001F2C3F" w:rsidP="00800BEE">
            <w:r>
              <w:t>……………………………………………….</w:t>
            </w:r>
          </w:p>
          <w:p w:rsidR="001F2C3F" w:rsidRDefault="001F2C3F" w:rsidP="00800BEE"/>
          <w:p w:rsidR="001F2C3F" w:rsidRDefault="001F2C3F" w:rsidP="00800BEE">
            <w:r>
              <w:t>………………………………………………</w:t>
            </w:r>
          </w:p>
        </w:tc>
      </w:tr>
      <w:tr w:rsidR="00DF5616" w:rsidTr="001F2C3F">
        <w:tc>
          <w:tcPr>
            <w:tcW w:w="1249" w:type="dxa"/>
          </w:tcPr>
          <w:p w:rsidR="00DF5616" w:rsidRDefault="00DF5616" w:rsidP="00800BEE">
            <w:r>
              <w:t>Narracja</w:t>
            </w:r>
          </w:p>
        </w:tc>
        <w:tc>
          <w:tcPr>
            <w:tcW w:w="3827" w:type="dxa"/>
          </w:tcPr>
          <w:p w:rsidR="00DF5616" w:rsidRDefault="001F2C3F" w:rsidP="001F2C3F">
            <w:r>
              <w:t>p</w:t>
            </w:r>
            <w:r w:rsidR="00DF5616">
              <w:t xml:space="preserve">ierwszoosobowa (1 osoba l. </w:t>
            </w:r>
            <w:proofErr w:type="spellStart"/>
            <w:r w:rsidR="00DF5616">
              <w:t>poj</w:t>
            </w:r>
            <w:proofErr w:type="spellEnd"/>
            <w:r w:rsidR="00DF5616">
              <w:t xml:space="preserve"> –Tadeusz i 1. os. l. </w:t>
            </w:r>
            <w:proofErr w:type="spellStart"/>
            <w:r w:rsidR="00DF5616">
              <w:t>mn</w:t>
            </w:r>
            <w:proofErr w:type="spellEnd"/>
            <w:r w:rsidR="00DF5616">
              <w:t xml:space="preserve">- utożsamienie narratora ze wspólnotą więźniów). </w:t>
            </w:r>
          </w:p>
        </w:tc>
        <w:tc>
          <w:tcPr>
            <w:tcW w:w="4824" w:type="dxa"/>
          </w:tcPr>
          <w:p w:rsidR="00DF5616" w:rsidRDefault="001F2C3F" w:rsidP="00800BEE">
            <w:r>
              <w:t>……………………………………………….</w:t>
            </w:r>
          </w:p>
          <w:p w:rsidR="001F2C3F" w:rsidRDefault="001F2C3F" w:rsidP="00800BEE"/>
          <w:p w:rsidR="001F2C3F" w:rsidRDefault="001F2C3F" w:rsidP="00800BEE">
            <w:r>
              <w:t>……………………………………………….</w:t>
            </w:r>
          </w:p>
        </w:tc>
      </w:tr>
      <w:tr w:rsidR="00DF5616" w:rsidTr="001F2C3F">
        <w:trPr>
          <w:trHeight w:val="2624"/>
        </w:trPr>
        <w:tc>
          <w:tcPr>
            <w:tcW w:w="1249" w:type="dxa"/>
          </w:tcPr>
          <w:p w:rsidR="00DF5616" w:rsidRDefault="00DF5616" w:rsidP="00800BEE">
            <w:r>
              <w:t>Styl</w:t>
            </w:r>
          </w:p>
        </w:tc>
        <w:tc>
          <w:tcPr>
            <w:tcW w:w="3827" w:type="dxa"/>
          </w:tcPr>
          <w:p w:rsidR="00DF5616" w:rsidRDefault="001F2C3F" w:rsidP="001F2C3F">
            <w:r>
              <w:t>b</w:t>
            </w:r>
            <w:r w:rsidR="00DF5616">
              <w:t>ehawioralny (rezygnacja z analizy psychologicznej, ograniczenie się do opisu zachowań więźniów), refleksyjny w opow. „U nas w Auschwitzu”, mającym formę listów narratora               do narzeczonej; dominują opowiadanie  i opis, w tytułach i narracji widoczna ironia.</w:t>
            </w:r>
          </w:p>
        </w:tc>
        <w:tc>
          <w:tcPr>
            <w:tcW w:w="4824" w:type="dxa"/>
          </w:tcPr>
          <w:p w:rsidR="00DF5616" w:rsidRDefault="001F2C3F" w:rsidP="00800BEE">
            <w:r>
              <w:t>……………………………………………….</w:t>
            </w:r>
          </w:p>
          <w:p w:rsidR="001F2C3F" w:rsidRDefault="001F2C3F" w:rsidP="00800BEE"/>
          <w:p w:rsidR="001F2C3F" w:rsidRDefault="001F2C3F" w:rsidP="00800BEE">
            <w:r>
              <w:t>………………………………………………</w:t>
            </w:r>
          </w:p>
          <w:p w:rsidR="001F2C3F" w:rsidRDefault="001F2C3F" w:rsidP="00800BEE"/>
          <w:p w:rsidR="001F2C3F" w:rsidRDefault="001F2C3F" w:rsidP="00800BEE">
            <w:r>
              <w:t>………………………………………………</w:t>
            </w:r>
          </w:p>
          <w:p w:rsidR="001F2C3F" w:rsidRDefault="001F2C3F" w:rsidP="00800BEE"/>
          <w:p w:rsidR="001F2C3F" w:rsidRDefault="001F2C3F" w:rsidP="00800BEE">
            <w:r>
              <w:t>………………………………………………….</w:t>
            </w:r>
          </w:p>
          <w:p w:rsidR="001F2C3F" w:rsidRDefault="001F2C3F" w:rsidP="00800BEE"/>
          <w:p w:rsidR="001F2C3F" w:rsidRDefault="001F2C3F" w:rsidP="00800BEE">
            <w:r>
              <w:t>…………………………………………………</w:t>
            </w:r>
          </w:p>
        </w:tc>
      </w:tr>
      <w:tr w:rsidR="00DF5616" w:rsidTr="001F2C3F">
        <w:trPr>
          <w:trHeight w:val="2139"/>
        </w:trPr>
        <w:tc>
          <w:tcPr>
            <w:tcW w:w="1249" w:type="dxa"/>
          </w:tcPr>
          <w:p w:rsidR="00DF5616" w:rsidRDefault="00DF5616" w:rsidP="00800BEE">
            <w:r>
              <w:t>Język</w:t>
            </w:r>
          </w:p>
        </w:tc>
        <w:tc>
          <w:tcPr>
            <w:tcW w:w="3827" w:type="dxa"/>
          </w:tcPr>
          <w:p w:rsidR="00DF5616" w:rsidRDefault="001F2C3F" w:rsidP="00800BEE">
            <w:r>
              <w:t>p</w:t>
            </w:r>
            <w:r w:rsidR="00DF5616">
              <w:t>otoczny (w partiach dialogowych), obecność obozowego esperanto                        i germanizmów; brutalizmy                            i wulgaryzmy (zwłaszcza w dialogach),</w:t>
            </w:r>
          </w:p>
          <w:p w:rsidR="00DF5616" w:rsidRDefault="00DF5616" w:rsidP="00800BEE">
            <w:r>
              <w:t xml:space="preserve">staranniejsza polszczyzna we fragm. refleksyjnych i lirycznych. </w:t>
            </w:r>
          </w:p>
        </w:tc>
        <w:tc>
          <w:tcPr>
            <w:tcW w:w="4824" w:type="dxa"/>
          </w:tcPr>
          <w:p w:rsidR="00DF5616" w:rsidRDefault="001F2C3F" w:rsidP="00800BEE">
            <w:r>
              <w:t>…………………………………………………</w:t>
            </w:r>
          </w:p>
          <w:p w:rsidR="001F2C3F" w:rsidRDefault="001F2C3F" w:rsidP="00800BEE"/>
          <w:p w:rsidR="001F2C3F" w:rsidRDefault="001F2C3F" w:rsidP="00800BEE">
            <w:r>
              <w:t>…………………………………………………</w:t>
            </w:r>
          </w:p>
          <w:p w:rsidR="001F2C3F" w:rsidRDefault="001F2C3F" w:rsidP="00800BEE"/>
          <w:p w:rsidR="001F2C3F" w:rsidRDefault="001F2C3F" w:rsidP="00800BEE">
            <w:r>
              <w:t>…………………………………………………</w:t>
            </w:r>
          </w:p>
          <w:p w:rsidR="001F3265" w:rsidRDefault="001F3265" w:rsidP="00800BEE"/>
          <w:p w:rsidR="001F2C3F" w:rsidRDefault="001F2C3F" w:rsidP="001F3265">
            <w:r>
              <w:t>…………………………………………………</w:t>
            </w:r>
          </w:p>
          <w:p w:rsidR="001F3265" w:rsidRDefault="001F3265" w:rsidP="001F3265"/>
        </w:tc>
      </w:tr>
      <w:tr w:rsidR="00DF5616" w:rsidTr="001F2C3F">
        <w:trPr>
          <w:trHeight w:val="2551"/>
        </w:trPr>
        <w:tc>
          <w:tcPr>
            <w:tcW w:w="1249" w:type="dxa"/>
          </w:tcPr>
          <w:p w:rsidR="00DF5616" w:rsidRDefault="00DF5616" w:rsidP="00800BEE">
            <w:r>
              <w:t>Wymowa</w:t>
            </w:r>
          </w:p>
          <w:p w:rsidR="00DF5616" w:rsidRDefault="00DF5616" w:rsidP="00800BEE">
            <w:r>
              <w:t xml:space="preserve"> utworu</w:t>
            </w:r>
          </w:p>
        </w:tc>
        <w:tc>
          <w:tcPr>
            <w:tcW w:w="3827" w:type="dxa"/>
          </w:tcPr>
          <w:p w:rsidR="00DF5616" w:rsidRDefault="001F2C3F" w:rsidP="001F2C3F">
            <w:r>
              <w:t>p</w:t>
            </w:r>
            <w:r w:rsidR="00DF5616">
              <w:t>esymistyczna; autor ukazał negatywny wpływ wojny na życie mieszkańców Warszawy („Pożegnanie z Marią”), degradację moralną więźniów obozów koncentracyjnych i upadek wszelkich ludzkich wartości; narrator to człowiek „</w:t>
            </w:r>
            <w:proofErr w:type="spellStart"/>
            <w:r w:rsidR="00DF5616">
              <w:t>zlagrowany</w:t>
            </w:r>
            <w:proofErr w:type="spellEnd"/>
            <w:r w:rsidR="00DF5616">
              <w:t>”, przystosowany do zasad życia obozowego.</w:t>
            </w:r>
          </w:p>
        </w:tc>
        <w:tc>
          <w:tcPr>
            <w:tcW w:w="4824" w:type="dxa"/>
          </w:tcPr>
          <w:p w:rsidR="00DF5616" w:rsidRDefault="001F3265" w:rsidP="001F3265">
            <w:r>
              <w:t>…………………………………………………</w:t>
            </w:r>
          </w:p>
          <w:p w:rsidR="001F3265" w:rsidRDefault="001F3265" w:rsidP="001F3265"/>
          <w:p w:rsidR="001F3265" w:rsidRDefault="001F3265" w:rsidP="001F3265">
            <w:r>
              <w:t>…………………………………………………</w:t>
            </w:r>
          </w:p>
          <w:p w:rsidR="001F3265" w:rsidRDefault="001F3265" w:rsidP="001F3265"/>
          <w:p w:rsidR="001F3265" w:rsidRDefault="001F3265" w:rsidP="001F3265">
            <w:r>
              <w:t>…………………………………………………</w:t>
            </w:r>
          </w:p>
          <w:p w:rsidR="001F3265" w:rsidRDefault="001F3265" w:rsidP="001F3265"/>
          <w:p w:rsidR="001F3265" w:rsidRDefault="001F3265" w:rsidP="001F3265">
            <w:r>
              <w:t>…………………………………………………</w:t>
            </w:r>
          </w:p>
          <w:p w:rsidR="001F3265" w:rsidRDefault="001F3265" w:rsidP="001F3265"/>
          <w:p w:rsidR="001F3265" w:rsidRDefault="001F3265" w:rsidP="001F3265">
            <w:r>
              <w:t>………………………………………………..</w:t>
            </w:r>
          </w:p>
        </w:tc>
      </w:tr>
    </w:tbl>
    <w:p w:rsidR="00062DFB" w:rsidRPr="0070677F" w:rsidRDefault="00062DFB" w:rsidP="00DF5616">
      <w:pPr>
        <w:rPr>
          <w:b/>
        </w:rPr>
      </w:pPr>
      <w:r w:rsidRPr="0070677F">
        <w:rPr>
          <w:b/>
        </w:rPr>
        <w:lastRenderedPageBreak/>
        <w:t>W ramach ćwiczenia umiejętności czytania ze zrozumieniem przeczytajcie tekst „Słoik pełen życia” Marcina Jakimowicza ( PRZYGOTOWANIE DO MATURY, podręcznik, s47- 48)  i wykonajcie ustnie polecenia pod tekstem.</w:t>
      </w:r>
    </w:p>
    <w:p w:rsidR="00062DFB" w:rsidRPr="0070677F" w:rsidRDefault="00062DFB" w:rsidP="00DF5616">
      <w:pPr>
        <w:rPr>
          <w:b/>
          <w:color w:val="0070C0"/>
        </w:rPr>
      </w:pPr>
    </w:p>
    <w:p w:rsidR="00DF5616" w:rsidRDefault="00062DFB" w:rsidP="00DF5616">
      <w:r>
        <w:t>Przydatne  informacje.</w:t>
      </w:r>
    </w:p>
    <w:p w:rsidR="00062DFB" w:rsidRDefault="00062DFB" w:rsidP="00DF5616">
      <w:r>
        <w:t xml:space="preserve">- Wyjaśnienie słowa PARADOKS znajdziecie w podręcznikowym </w:t>
      </w:r>
      <w:r w:rsidRPr="00062DFB">
        <w:rPr>
          <w:i/>
        </w:rPr>
        <w:t xml:space="preserve">Słowniczku terminów           i pojęć </w:t>
      </w:r>
      <w:r w:rsidRPr="00062DFB">
        <w:t>na s.176</w:t>
      </w:r>
      <w:r>
        <w:t>.</w:t>
      </w:r>
    </w:p>
    <w:p w:rsidR="00062DFB" w:rsidRPr="00062DFB" w:rsidRDefault="00062DFB" w:rsidP="00DF5616">
      <w:pPr>
        <w:rPr>
          <w:i/>
        </w:rPr>
      </w:pPr>
      <w:r>
        <w:t>- Wyraz PUENTA (pointa</w:t>
      </w:r>
      <w:r w:rsidR="00C9669C">
        <w:t>)</w:t>
      </w:r>
      <w:r>
        <w:t xml:space="preserve"> oznacza nieoczekiwane zakończenie utworu </w:t>
      </w:r>
      <w:r w:rsidR="00C9669C">
        <w:t xml:space="preserve"> (</w:t>
      </w:r>
      <w:r>
        <w:t xml:space="preserve"> tak się dzieje np.: w nowelach lub wierszach</w:t>
      </w:r>
      <w:r w:rsidR="00C9669C">
        <w:t xml:space="preserve"> ) </w:t>
      </w:r>
      <w:r>
        <w:t xml:space="preserve">lub podsumowanie  </w:t>
      </w:r>
      <w:r w:rsidR="00C9669C">
        <w:t>rozważań, zamknięcie jakiegoś tematu.</w:t>
      </w:r>
    </w:p>
    <w:sectPr w:rsidR="00062DFB" w:rsidRPr="00062DFB" w:rsidSect="001F2C3F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616"/>
    <w:rsid w:val="00062DFB"/>
    <w:rsid w:val="0019653D"/>
    <w:rsid w:val="001F2C3F"/>
    <w:rsid w:val="001F3265"/>
    <w:rsid w:val="00470B9F"/>
    <w:rsid w:val="0054754D"/>
    <w:rsid w:val="00671601"/>
    <w:rsid w:val="0070677F"/>
    <w:rsid w:val="00716810"/>
    <w:rsid w:val="008216EC"/>
    <w:rsid w:val="00C9669C"/>
    <w:rsid w:val="00DF5616"/>
    <w:rsid w:val="00EE1B7C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F5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9</cp:revision>
  <dcterms:created xsi:type="dcterms:W3CDTF">2020-11-04T22:43:00Z</dcterms:created>
  <dcterms:modified xsi:type="dcterms:W3CDTF">2020-11-05T07:31:00Z</dcterms:modified>
</cp:coreProperties>
</file>